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5D0" w:rsidRPr="00CD45D0" w:rsidRDefault="00CD45D0" w:rsidP="00CD45D0">
      <w:pPr>
        <w:spacing w:after="0" w:line="240" w:lineRule="auto"/>
        <w:jc w:val="center"/>
        <w:rPr>
          <w:rFonts w:ascii="Times New Roman" w:hAnsi="Times New Roman" w:cs="Times New Roman"/>
          <w:b/>
          <w:sz w:val="28"/>
          <w:szCs w:val="28"/>
        </w:rPr>
      </w:pPr>
      <w:r w:rsidRPr="00CD45D0">
        <w:rPr>
          <w:rFonts w:ascii="Times New Roman" w:hAnsi="Times New Roman" w:cs="Times New Roman"/>
          <w:b/>
          <w:sz w:val="28"/>
          <w:szCs w:val="28"/>
        </w:rPr>
        <w:t xml:space="preserve">Отчет </w:t>
      </w:r>
    </w:p>
    <w:p w:rsidR="00CD45D0" w:rsidRPr="00CD45D0" w:rsidRDefault="00CD45D0" w:rsidP="00CD45D0">
      <w:pPr>
        <w:spacing w:after="0" w:line="240" w:lineRule="auto"/>
        <w:jc w:val="center"/>
        <w:rPr>
          <w:rFonts w:ascii="Times New Roman" w:hAnsi="Times New Roman" w:cs="Times New Roman"/>
          <w:b/>
          <w:sz w:val="28"/>
          <w:szCs w:val="28"/>
        </w:rPr>
      </w:pPr>
      <w:r w:rsidRPr="00CD45D0">
        <w:rPr>
          <w:rFonts w:ascii="Times New Roman" w:hAnsi="Times New Roman" w:cs="Times New Roman"/>
          <w:b/>
          <w:sz w:val="28"/>
          <w:szCs w:val="28"/>
        </w:rPr>
        <w:t xml:space="preserve">о результатах деятельности Народненского сельского поселения </w:t>
      </w:r>
    </w:p>
    <w:p w:rsidR="00CD45D0" w:rsidRPr="00CD45D0" w:rsidRDefault="00CD45D0" w:rsidP="00CD45D0">
      <w:pPr>
        <w:spacing w:after="0" w:line="240" w:lineRule="auto"/>
        <w:jc w:val="center"/>
        <w:rPr>
          <w:rFonts w:ascii="Times New Roman" w:hAnsi="Times New Roman" w:cs="Times New Roman"/>
          <w:b/>
          <w:sz w:val="28"/>
          <w:szCs w:val="28"/>
        </w:rPr>
      </w:pPr>
      <w:r w:rsidRPr="00CD45D0">
        <w:rPr>
          <w:rFonts w:ascii="Times New Roman" w:hAnsi="Times New Roman" w:cs="Times New Roman"/>
          <w:b/>
          <w:sz w:val="28"/>
          <w:szCs w:val="28"/>
        </w:rPr>
        <w:t>за 2023 год и о планах работы на 2024 год</w:t>
      </w:r>
    </w:p>
    <w:p w:rsidR="00CD45D0" w:rsidRPr="00CD45D0" w:rsidRDefault="00CD45D0" w:rsidP="00CD45D0">
      <w:pPr>
        <w:tabs>
          <w:tab w:val="left" w:pos="7340"/>
        </w:tabs>
        <w:spacing w:after="0" w:line="360" w:lineRule="auto"/>
        <w:rPr>
          <w:rFonts w:ascii="Times New Roman" w:hAnsi="Times New Roman" w:cs="Times New Roman"/>
          <w:sz w:val="28"/>
          <w:szCs w:val="28"/>
        </w:rPr>
      </w:pPr>
    </w:p>
    <w:p w:rsidR="00CD45D0" w:rsidRPr="00CD45D0" w:rsidRDefault="00CD45D0" w:rsidP="00CD45D0">
      <w:pPr>
        <w:tabs>
          <w:tab w:val="left" w:pos="7340"/>
        </w:tabs>
        <w:spacing w:after="0" w:line="360" w:lineRule="auto"/>
        <w:rPr>
          <w:rFonts w:ascii="Times New Roman" w:hAnsi="Times New Roman" w:cs="Times New Roman"/>
          <w:sz w:val="28"/>
          <w:szCs w:val="28"/>
        </w:rPr>
      </w:pPr>
      <w:r w:rsidRPr="00CD45D0">
        <w:rPr>
          <w:rFonts w:ascii="Times New Roman" w:hAnsi="Times New Roman" w:cs="Times New Roman"/>
          <w:sz w:val="28"/>
          <w:szCs w:val="28"/>
        </w:rPr>
        <w:t>08 февраля 2024 года                                                                       с. Народное</w:t>
      </w:r>
    </w:p>
    <w:p w:rsidR="00CD45D0" w:rsidRPr="00CD45D0" w:rsidRDefault="00CD45D0" w:rsidP="00CD45D0">
      <w:pPr>
        <w:spacing w:after="0" w:line="240" w:lineRule="auto"/>
        <w:rPr>
          <w:rFonts w:ascii="Times New Roman" w:hAnsi="Times New Roman" w:cs="Times New Roman"/>
          <w:sz w:val="28"/>
          <w:szCs w:val="28"/>
        </w:rPr>
      </w:pPr>
      <w:r w:rsidRPr="00CD45D0">
        <w:rPr>
          <w:rFonts w:ascii="Times New Roman" w:hAnsi="Times New Roman" w:cs="Times New Roman"/>
          <w:sz w:val="28"/>
          <w:szCs w:val="28"/>
        </w:rPr>
        <w:t>Уважаемые депутаты!</w:t>
      </w:r>
    </w:p>
    <w:p w:rsidR="00CD45D0" w:rsidRPr="00CD45D0" w:rsidRDefault="00CD45D0" w:rsidP="00CD45D0">
      <w:pPr>
        <w:spacing w:after="0" w:line="240" w:lineRule="auto"/>
        <w:rPr>
          <w:rFonts w:ascii="Times New Roman" w:hAnsi="Times New Roman" w:cs="Times New Roman"/>
          <w:sz w:val="28"/>
          <w:szCs w:val="28"/>
        </w:rPr>
      </w:pPr>
      <w:r w:rsidRPr="00CD45D0">
        <w:rPr>
          <w:rFonts w:ascii="Times New Roman" w:hAnsi="Times New Roman" w:cs="Times New Roman"/>
          <w:sz w:val="28"/>
          <w:szCs w:val="28"/>
        </w:rPr>
        <w:t>Уважаемые жители!</w:t>
      </w:r>
    </w:p>
    <w:p w:rsidR="00CD45D0" w:rsidRPr="00CD45D0" w:rsidRDefault="00CD45D0" w:rsidP="00CD45D0">
      <w:pPr>
        <w:spacing w:after="0" w:line="240" w:lineRule="auto"/>
        <w:rPr>
          <w:rFonts w:ascii="Times New Roman" w:hAnsi="Times New Roman" w:cs="Times New Roman"/>
          <w:sz w:val="28"/>
          <w:szCs w:val="28"/>
        </w:rPr>
      </w:pPr>
      <w:r w:rsidRPr="00CD45D0">
        <w:rPr>
          <w:rFonts w:ascii="Times New Roman" w:hAnsi="Times New Roman" w:cs="Times New Roman"/>
          <w:sz w:val="28"/>
          <w:szCs w:val="28"/>
        </w:rPr>
        <w:t>Уважаемые присутствующие!</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sz w:val="28"/>
          <w:szCs w:val="28"/>
        </w:rPr>
        <w:t>В своей деятельности Администрация сельского поселения руководствуется Конституцией РФ, федеральными законами и иными нормативными правовыми актами РФ, Воронежской области и органов местного самоуправления сельского поселения.</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ab/>
        <w:t>В селе живут люди разных профессий и судеб. Но роднит вас всех высокая ответственность, любовь к малой родине, преданность родному краю. И действительно никакие вопросы не могут быть по-настоящему решены без интеллектуального, морального и трудового потенциала жителей наших сел. Это закономерно. В представленных разнообразных суждениях есть главная объединяющая идея – исходить из интересов народа, из интересов потребностей большинства местных жителей. Нам необходима объективная информация, мы хотели бы услышать побольше свежих предложений. Наша основная цель – это объединение и работа на основе согласованных действий органов местной власти, хозяйственных субъектов, предпринимательского корпуса и главное – населения.</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ab/>
        <w:t>Деятельность органов местного самоуправления сельского поселения всегда направлена на решение важных для жителей вопросов. Свою деятельность администрация строит исходя:</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1) соответствия вопросам решаемых органами местного самоуправления сельского поселения;</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2) остроты социальных проблем;</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3) состояния финансовой сферы местного бюджета;</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4) востребованности услуги населением.</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sz w:val="28"/>
          <w:szCs w:val="28"/>
        </w:rPr>
        <w:t>Никто не обещает золотых гор и рек полных серебра, не занимается провозглашением таких лозунгов, претворить которые в жизнь невозможно. Планируя свою деятельность мы смотрим, какими средствами располагаем, есть ли возможность расширения своей налогооблагаемой базы.</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sz w:val="28"/>
          <w:szCs w:val="28"/>
        </w:rPr>
        <w:t xml:space="preserve">Народненское сельское поселение объединяет семь населенных пунктов. Самое крупное село -   с. Народное с населением 920  жителей. В с. Липяги – 584 человека, в с. Поповка – 197 жителей. В д. Коршуновка, д. Михайловка  д. Сергеевка и д. Красивка проживает 78 жителей. Ситуация с демографией, внутренней эмиграцией наиболее трудоспособного населения, вопросы узости рынка труда вызывают большую обеспокоенность и тревогу. </w:t>
      </w:r>
      <w:r w:rsidRPr="00CD45D0">
        <w:rPr>
          <w:rFonts w:ascii="Times New Roman" w:hAnsi="Times New Roman" w:cs="Times New Roman"/>
          <w:sz w:val="28"/>
          <w:szCs w:val="28"/>
        </w:rPr>
        <w:lastRenderedPageBreak/>
        <w:t>Отрицательная динамика в уменьшении и старении населения сохраняется на протяжении ряда лет.</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ab/>
        <w:t>Выступая на выставке – форуме «Россия» 13 января 2023 г.  Губернатор Воронежской области А.В. Гусев сказал: «Гордиться наш регион может не только прошлым, но и настоящим. В Воронежской области активно развивается экономика. Так, за 2023 год зарплаты бюджетников  в регионе выросли на 15%, опережая инфляцию. Объем валового регионального продукта за последние пять лет достиг показателя в 1,5 трл.руб. Также в Воронежской области построено и отремонтировано около 5,5 тыс. км региональных и местных дорог. А по объему жилищного строительства  наша область входит в 15 лучших регионов России». Позитивные перемены в области положительно сказываются на развитии муниципалитетов.</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sz w:val="28"/>
          <w:szCs w:val="28"/>
        </w:rPr>
        <w:t>Бюджет Народненского сельского поселения по состоянию на 1 января в 2023 году планировался  в сумме 10537,8 тыс. рублей. На 31 декабря доходы местной казны составили 22514,1 тыс. рублей или 213,6% к плану. Собственных средств при плане 7174,5 тыс. руб. поступило 10121,7 тыс. рублей или 141%. Огромную долю собственных средств составили земельный налог и арендная плата за пользование земельными площадями.</w:t>
      </w:r>
    </w:p>
    <w:p w:rsidR="00CD45D0" w:rsidRPr="00CD45D0" w:rsidRDefault="00CD45D0" w:rsidP="00CD45D0">
      <w:pPr>
        <w:spacing w:after="0" w:line="240" w:lineRule="auto"/>
        <w:ind w:firstLine="708"/>
        <w:jc w:val="both"/>
        <w:rPr>
          <w:rFonts w:ascii="Times New Roman" w:hAnsi="Times New Roman" w:cs="Times New Roman"/>
          <w:sz w:val="28"/>
          <w:szCs w:val="28"/>
        </w:rPr>
      </w:pPr>
    </w:p>
    <w:p w:rsidR="00CD45D0" w:rsidRPr="00CD45D0" w:rsidRDefault="00CD45D0" w:rsidP="00CD45D0">
      <w:pPr>
        <w:spacing w:after="0" w:line="240" w:lineRule="auto"/>
        <w:ind w:firstLine="708"/>
        <w:jc w:val="center"/>
        <w:rPr>
          <w:rFonts w:ascii="Times New Roman" w:hAnsi="Times New Roman" w:cs="Times New Roman"/>
          <w:b/>
          <w:sz w:val="28"/>
          <w:szCs w:val="28"/>
        </w:rPr>
      </w:pPr>
      <w:r w:rsidRPr="00CD45D0">
        <w:rPr>
          <w:rFonts w:ascii="Times New Roman" w:hAnsi="Times New Roman" w:cs="Times New Roman"/>
          <w:b/>
          <w:sz w:val="28"/>
          <w:szCs w:val="28"/>
        </w:rPr>
        <w:t>Структура доходов местного бюджета сложилась следующим образом:</w:t>
      </w:r>
    </w:p>
    <w:p w:rsidR="00CD45D0" w:rsidRPr="00CD45D0" w:rsidRDefault="00CD45D0" w:rsidP="00CD45D0">
      <w:pPr>
        <w:spacing w:after="0" w:line="240" w:lineRule="auto"/>
        <w:jc w:val="center"/>
        <w:rPr>
          <w:rFonts w:ascii="Times New Roman" w:hAnsi="Times New Roman" w:cs="Times New Roman"/>
          <w:b/>
          <w:sz w:val="28"/>
          <w:szCs w:val="28"/>
        </w:rPr>
      </w:pPr>
    </w:p>
    <w:tbl>
      <w:tblPr>
        <w:tblStyle w:val="a5"/>
        <w:tblW w:w="0" w:type="auto"/>
        <w:tblLook w:val="04A0" w:firstRow="1" w:lastRow="0" w:firstColumn="1" w:lastColumn="0" w:noHBand="0" w:noVBand="1"/>
      </w:tblPr>
      <w:tblGrid>
        <w:gridCol w:w="3368"/>
        <w:gridCol w:w="3011"/>
        <w:gridCol w:w="3191"/>
      </w:tblGrid>
      <w:tr w:rsidR="00CD45D0" w:rsidRPr="00CD45D0" w:rsidTr="00512548">
        <w:tc>
          <w:tcPr>
            <w:tcW w:w="3369"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center"/>
              <w:rPr>
                <w:rFonts w:ascii="Times New Roman" w:hAnsi="Times New Roman" w:cs="Times New Roman"/>
                <w:b/>
                <w:sz w:val="28"/>
                <w:szCs w:val="28"/>
              </w:rPr>
            </w:pPr>
            <w:r w:rsidRPr="00CD45D0">
              <w:rPr>
                <w:rFonts w:ascii="Times New Roman" w:hAnsi="Times New Roman" w:cs="Times New Roman"/>
                <w:b/>
                <w:sz w:val="28"/>
                <w:szCs w:val="28"/>
              </w:rPr>
              <w:t>Наименование налога, вид поступления</w:t>
            </w:r>
          </w:p>
        </w:tc>
        <w:tc>
          <w:tcPr>
            <w:tcW w:w="301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center"/>
              <w:rPr>
                <w:rFonts w:ascii="Times New Roman" w:hAnsi="Times New Roman" w:cs="Times New Roman"/>
                <w:b/>
                <w:sz w:val="28"/>
                <w:szCs w:val="28"/>
              </w:rPr>
            </w:pPr>
            <w:r w:rsidRPr="00CD45D0">
              <w:rPr>
                <w:rFonts w:ascii="Times New Roman" w:hAnsi="Times New Roman" w:cs="Times New Roman"/>
                <w:b/>
                <w:sz w:val="28"/>
                <w:szCs w:val="28"/>
              </w:rPr>
              <w:t>Поступило (тыс. рублей)</w:t>
            </w:r>
          </w:p>
        </w:tc>
        <w:tc>
          <w:tcPr>
            <w:tcW w:w="319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center"/>
              <w:rPr>
                <w:rFonts w:ascii="Times New Roman" w:hAnsi="Times New Roman" w:cs="Times New Roman"/>
                <w:b/>
                <w:sz w:val="28"/>
                <w:szCs w:val="28"/>
              </w:rPr>
            </w:pPr>
            <w:r w:rsidRPr="00CD45D0">
              <w:rPr>
                <w:rFonts w:ascii="Times New Roman" w:hAnsi="Times New Roman" w:cs="Times New Roman"/>
                <w:b/>
                <w:sz w:val="28"/>
                <w:szCs w:val="28"/>
              </w:rPr>
              <w:t>% исполнения</w:t>
            </w:r>
          </w:p>
        </w:tc>
      </w:tr>
      <w:tr w:rsidR="00CD45D0" w:rsidRPr="00CD45D0" w:rsidTr="00512548">
        <w:tc>
          <w:tcPr>
            <w:tcW w:w="3369"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Земельный налог</w:t>
            </w:r>
          </w:p>
        </w:tc>
        <w:tc>
          <w:tcPr>
            <w:tcW w:w="301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2424,0</w:t>
            </w:r>
          </w:p>
        </w:tc>
        <w:tc>
          <w:tcPr>
            <w:tcW w:w="319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highlight w:val="yellow"/>
              </w:rPr>
            </w:pPr>
            <w:r w:rsidRPr="00CD45D0">
              <w:rPr>
                <w:rFonts w:ascii="Times New Roman" w:hAnsi="Times New Roman" w:cs="Times New Roman"/>
                <w:sz w:val="28"/>
                <w:szCs w:val="28"/>
              </w:rPr>
              <w:t>104,0</w:t>
            </w:r>
          </w:p>
        </w:tc>
      </w:tr>
      <w:tr w:rsidR="00CD45D0" w:rsidRPr="00CD45D0" w:rsidTr="00512548">
        <w:tc>
          <w:tcPr>
            <w:tcW w:w="3369"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Налог на имущество</w:t>
            </w:r>
          </w:p>
        </w:tc>
        <w:tc>
          <w:tcPr>
            <w:tcW w:w="301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178,7</w:t>
            </w:r>
          </w:p>
        </w:tc>
        <w:tc>
          <w:tcPr>
            <w:tcW w:w="319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highlight w:val="yellow"/>
              </w:rPr>
            </w:pPr>
            <w:r w:rsidRPr="00CD45D0">
              <w:rPr>
                <w:rFonts w:ascii="Times New Roman" w:hAnsi="Times New Roman" w:cs="Times New Roman"/>
                <w:sz w:val="28"/>
                <w:szCs w:val="28"/>
              </w:rPr>
              <w:t>207,8</w:t>
            </w:r>
          </w:p>
        </w:tc>
      </w:tr>
      <w:tr w:rsidR="00CD45D0" w:rsidRPr="00CD45D0" w:rsidTr="00512548">
        <w:tc>
          <w:tcPr>
            <w:tcW w:w="3369"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Налог на доходы физ. лиц</w:t>
            </w:r>
          </w:p>
        </w:tc>
        <w:tc>
          <w:tcPr>
            <w:tcW w:w="301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486,4</w:t>
            </w:r>
          </w:p>
        </w:tc>
        <w:tc>
          <w:tcPr>
            <w:tcW w:w="319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138,2</w:t>
            </w:r>
          </w:p>
        </w:tc>
      </w:tr>
      <w:tr w:rsidR="00CD45D0" w:rsidRPr="00CD45D0" w:rsidTr="00512548">
        <w:tc>
          <w:tcPr>
            <w:tcW w:w="3369"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Госпошлина</w:t>
            </w:r>
          </w:p>
        </w:tc>
        <w:tc>
          <w:tcPr>
            <w:tcW w:w="301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5,0</w:t>
            </w:r>
          </w:p>
        </w:tc>
        <w:tc>
          <w:tcPr>
            <w:tcW w:w="319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83,3</w:t>
            </w:r>
          </w:p>
        </w:tc>
      </w:tr>
      <w:tr w:rsidR="00CD45D0" w:rsidRPr="00CD45D0" w:rsidTr="00512548">
        <w:tc>
          <w:tcPr>
            <w:tcW w:w="3369"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Аренда земли</w:t>
            </w:r>
          </w:p>
        </w:tc>
        <w:tc>
          <w:tcPr>
            <w:tcW w:w="301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4442,2</w:t>
            </w:r>
          </w:p>
        </w:tc>
        <w:tc>
          <w:tcPr>
            <w:tcW w:w="319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109,5</w:t>
            </w:r>
          </w:p>
        </w:tc>
      </w:tr>
      <w:tr w:rsidR="00CD45D0" w:rsidRPr="00CD45D0" w:rsidTr="00512548">
        <w:tc>
          <w:tcPr>
            <w:tcW w:w="3369"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Аренда имущества</w:t>
            </w:r>
          </w:p>
        </w:tc>
        <w:tc>
          <w:tcPr>
            <w:tcW w:w="301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4,0</w:t>
            </w:r>
          </w:p>
        </w:tc>
        <w:tc>
          <w:tcPr>
            <w:tcW w:w="319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highlight w:val="yellow"/>
              </w:rPr>
            </w:pPr>
            <w:r w:rsidRPr="00CD45D0">
              <w:rPr>
                <w:rFonts w:ascii="Times New Roman" w:hAnsi="Times New Roman" w:cs="Times New Roman"/>
                <w:sz w:val="28"/>
                <w:szCs w:val="28"/>
              </w:rPr>
              <w:t>0,0</w:t>
            </w:r>
          </w:p>
        </w:tc>
      </w:tr>
      <w:tr w:rsidR="00CD45D0" w:rsidRPr="00CD45D0" w:rsidTr="00512548">
        <w:tc>
          <w:tcPr>
            <w:tcW w:w="3369"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Прочие неналоговые поступления</w:t>
            </w:r>
          </w:p>
        </w:tc>
        <w:tc>
          <w:tcPr>
            <w:tcW w:w="301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4,6</w:t>
            </w:r>
          </w:p>
        </w:tc>
        <w:tc>
          <w:tcPr>
            <w:tcW w:w="319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highlight w:val="yellow"/>
              </w:rPr>
            </w:pPr>
            <w:r w:rsidRPr="00CD45D0">
              <w:rPr>
                <w:rFonts w:ascii="Times New Roman" w:hAnsi="Times New Roman" w:cs="Times New Roman"/>
                <w:sz w:val="28"/>
                <w:szCs w:val="28"/>
              </w:rPr>
              <w:t>57,5</w:t>
            </w:r>
          </w:p>
        </w:tc>
      </w:tr>
      <w:tr w:rsidR="00CD45D0" w:rsidRPr="00CD45D0" w:rsidTr="00512548">
        <w:tc>
          <w:tcPr>
            <w:tcW w:w="3369"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Штрафы</w:t>
            </w:r>
          </w:p>
        </w:tc>
        <w:tc>
          <w:tcPr>
            <w:tcW w:w="301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0,0</w:t>
            </w:r>
          </w:p>
        </w:tc>
        <w:tc>
          <w:tcPr>
            <w:tcW w:w="319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highlight w:val="yellow"/>
              </w:rPr>
            </w:pPr>
            <w:r w:rsidRPr="00CD45D0">
              <w:rPr>
                <w:rFonts w:ascii="Times New Roman" w:hAnsi="Times New Roman" w:cs="Times New Roman"/>
                <w:sz w:val="28"/>
                <w:szCs w:val="28"/>
              </w:rPr>
              <w:t>0,0</w:t>
            </w:r>
          </w:p>
        </w:tc>
      </w:tr>
      <w:tr w:rsidR="00CD45D0" w:rsidRPr="00CD45D0" w:rsidTr="00512548">
        <w:tc>
          <w:tcPr>
            <w:tcW w:w="3369"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Возмещение коммунальных услуг</w:t>
            </w:r>
          </w:p>
        </w:tc>
        <w:tc>
          <w:tcPr>
            <w:tcW w:w="3011" w:type="dxa"/>
            <w:tcBorders>
              <w:top w:val="single" w:sz="4" w:space="0" w:color="auto"/>
              <w:left w:val="single" w:sz="4" w:space="0" w:color="auto"/>
              <w:bottom w:val="single" w:sz="4" w:space="0" w:color="auto"/>
              <w:right w:val="single" w:sz="4" w:space="0" w:color="auto"/>
            </w:tcBorders>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151,5</w:t>
            </w:r>
          </w:p>
          <w:p w:rsidR="00CD45D0" w:rsidRPr="00CD45D0" w:rsidRDefault="00CD45D0" w:rsidP="00CD45D0">
            <w:pPr>
              <w:jc w:val="both"/>
              <w:rPr>
                <w:rFonts w:ascii="Times New Roman" w:hAnsi="Times New Roman" w:cs="Times New Roman"/>
                <w:sz w:val="28"/>
                <w:szCs w:val="28"/>
              </w:rPr>
            </w:pPr>
          </w:p>
        </w:tc>
        <w:tc>
          <w:tcPr>
            <w:tcW w:w="319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highlight w:val="yellow"/>
              </w:rPr>
            </w:pPr>
            <w:r w:rsidRPr="00CD45D0">
              <w:rPr>
                <w:rFonts w:ascii="Times New Roman" w:hAnsi="Times New Roman" w:cs="Times New Roman"/>
                <w:sz w:val="28"/>
                <w:szCs w:val="28"/>
              </w:rPr>
              <w:t>48,9</w:t>
            </w:r>
          </w:p>
        </w:tc>
      </w:tr>
      <w:tr w:rsidR="00CD45D0" w:rsidRPr="00CD45D0" w:rsidTr="00512548">
        <w:tc>
          <w:tcPr>
            <w:tcW w:w="3369"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Доходы от продажи земельных участков</w:t>
            </w:r>
          </w:p>
        </w:tc>
        <w:tc>
          <w:tcPr>
            <w:tcW w:w="301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2425,3</w:t>
            </w:r>
          </w:p>
        </w:tc>
        <w:tc>
          <w:tcPr>
            <w:tcW w:w="319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0,0</w:t>
            </w:r>
          </w:p>
        </w:tc>
      </w:tr>
      <w:tr w:rsidR="00CD45D0" w:rsidRPr="00CD45D0" w:rsidTr="00512548">
        <w:tc>
          <w:tcPr>
            <w:tcW w:w="3369"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t xml:space="preserve">Безвозмездные поступления от денежных пожертвований, предоставляемых физическими лицами (инициативные платежи </w:t>
            </w:r>
            <w:r w:rsidRPr="00CD45D0">
              <w:rPr>
                <w:rFonts w:ascii="Times New Roman" w:hAnsi="Times New Roman" w:cs="Times New Roman"/>
                <w:sz w:val="28"/>
                <w:szCs w:val="28"/>
              </w:rPr>
              <w:lastRenderedPageBreak/>
              <w:t>за 2022г)</w:t>
            </w:r>
          </w:p>
        </w:tc>
        <w:tc>
          <w:tcPr>
            <w:tcW w:w="301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rPr>
            </w:pPr>
            <w:r w:rsidRPr="00CD45D0">
              <w:rPr>
                <w:rFonts w:ascii="Times New Roman" w:hAnsi="Times New Roman" w:cs="Times New Roman"/>
                <w:sz w:val="28"/>
                <w:szCs w:val="28"/>
              </w:rPr>
              <w:lastRenderedPageBreak/>
              <w:t>106,3</w:t>
            </w:r>
          </w:p>
        </w:tc>
        <w:tc>
          <w:tcPr>
            <w:tcW w:w="3191" w:type="dxa"/>
            <w:tcBorders>
              <w:top w:val="single" w:sz="4" w:space="0" w:color="auto"/>
              <w:left w:val="single" w:sz="4" w:space="0" w:color="auto"/>
              <w:bottom w:val="single" w:sz="4" w:space="0" w:color="auto"/>
              <w:right w:val="single" w:sz="4" w:space="0" w:color="auto"/>
            </w:tcBorders>
            <w:hideMark/>
          </w:tcPr>
          <w:p w:rsidR="00CD45D0" w:rsidRPr="00CD45D0" w:rsidRDefault="00CD45D0" w:rsidP="00CD45D0">
            <w:pPr>
              <w:jc w:val="both"/>
              <w:rPr>
                <w:rFonts w:ascii="Times New Roman" w:hAnsi="Times New Roman" w:cs="Times New Roman"/>
                <w:sz w:val="28"/>
                <w:szCs w:val="28"/>
                <w:highlight w:val="yellow"/>
              </w:rPr>
            </w:pPr>
            <w:r w:rsidRPr="00CD45D0">
              <w:rPr>
                <w:rFonts w:ascii="Times New Roman" w:hAnsi="Times New Roman" w:cs="Times New Roman"/>
                <w:sz w:val="28"/>
                <w:szCs w:val="28"/>
              </w:rPr>
              <w:t>0,0</w:t>
            </w:r>
          </w:p>
        </w:tc>
      </w:tr>
    </w:tbl>
    <w:p w:rsidR="00CD45D0" w:rsidRPr="00CD45D0" w:rsidRDefault="00CD45D0" w:rsidP="00CD45D0">
      <w:pPr>
        <w:spacing w:after="0" w:line="240" w:lineRule="auto"/>
        <w:ind w:firstLine="708"/>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ab/>
        <w:t>Средства из других бюджетов поступили в следующих размерах:</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дотации на выравнивание бюджетной обеспеченности – 2045000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средства на содержание ВУС – 113300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средства на содержание местных дорог -  1205000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средства на оплату электроэнергии – 91219,64 рубля;</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средства на ГСМ – 8660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средства на поощрение сельских поселения Воронежской области – 200000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иные межбюджетные трансферты – 160200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ab/>
        <w:t xml:space="preserve">Основными плательщиками земельного налога в местный бюджет являются: ООО «Зерновой Дом», ООО «СХП им. Мичурина», ООО «Савала», КФХ Белов А.А., свеклопункт, ИП глава КФХ Цветков А.Ю. Основными плательщиками  налога на доходы физических лиц являются ООО «Торговый дом Народный», учреждения образования. Доходы от аренды земли поступили от ООО «Савала», ООО «Торговый дом Народный», КФХ Белов А.А., КФХ Цветков  А.Ю. </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ab/>
        <w:t>В 2023 г. была завершена работа по оформлению в собственность сельского поселения невостребованных сельскохозяйственных угодий площадью 25 га, расположенных границах ООО «Савала». В результате проведенной работы в местный бюджет от продажи земли поступило 2425280 рублей.</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sz w:val="28"/>
          <w:szCs w:val="28"/>
        </w:rPr>
        <w:t>Расходы бюджета в 2023 году составили 22514062,77 рублей и распределились следующим образом:</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вопросы ЖКХ – 5160591,01 рубль, в том числе:</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расходы на софинансирование капитальных вложений в объекты муниципальной   собственности (</w:t>
      </w:r>
      <w:r w:rsidRPr="00CD45D0">
        <w:rPr>
          <w:rFonts w:ascii="Times New Roman" w:eastAsia="Times New Roman" w:hAnsi="Times New Roman" w:cs="Times New Roman"/>
          <w:sz w:val="28"/>
          <w:szCs w:val="28"/>
          <w:lang w:eastAsia="ru-RU"/>
        </w:rPr>
        <w:t>выполнение работ по разработке проектно-сметной и рабочей документации по объекту: «Реконструкция системы водоснабжения с установкой станций водоочистки в системе водоподготовки хозяйственно – питьевого назначения  водопровода  в с. Народное  Терновского муниципального района Воронежской области» (включая ПИР)</w:t>
      </w:r>
      <w:r w:rsidRPr="00CD45D0">
        <w:rPr>
          <w:rFonts w:ascii="Times New Roman" w:hAnsi="Times New Roman" w:cs="Times New Roman"/>
          <w:sz w:val="28"/>
          <w:szCs w:val="28"/>
        </w:rPr>
        <w:t xml:space="preserve"> – 4345924,61 рубля;</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расходы на реализацию проектов по поддержке местных инициатив на территории муниципальных образований воронежской области (текущий ремонт сетей водопровода в с. Поповка) – 767666,40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xml:space="preserve">      - расходы на проектно-сметную документацию – 47000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вопросы культуры – 1375333,98 рубля, в том числе межбюджетные трансферты на обеспечение полномочий по решению отдельных вопросов местного значения в сфере культуры – 1116500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xml:space="preserve"> - вопросы благоустройства – 4893100,62 рубля;</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xml:space="preserve"> - содержание органов местного самоуправления  - 3938235,54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уличное освещение – 1386083,23 рубля;</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lastRenderedPageBreak/>
        <w:t>- благоустройство мест массового отдыха населения – 259996,24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дорожная деятельность – 1205000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обеспечение пожарной безопасности – 796674,96рубля;</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гражданская оборона – 249665,42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ВУС – 113300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физическая культура и спорт – 1797000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пенсионное обеспечение – 90807,96 рубль;</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средства на бухгалтерию – 374600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расходы на обеспечение передачи полномочий по осуществлению внешнего муниципального финансового контроля(контрольно-счетный орган  Терновского муниципального района) – 7700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выполнение других расходных обязательств – 865973,81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ab/>
        <w:t>Крупное и важное событие ожидает всех нас в марте этого года. 17 марта состоятся выборы Президента России. В условиях сложной и напряженной международной обстановки наш действующий глава государства Владимир Владимирович Путин готов взять ответственность за  страну и её многонациональный народ. Вместе – мы сила! Вместе – мы гранит. Призываю всех жителей Народненского сельского поселения продемонстрировать высокую гражданскую и патриотическую позицию. Уверен, так будет. Ведь мы россияне всегда объединялись в трудные и грозные времена.</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sz w:val="28"/>
          <w:szCs w:val="28"/>
        </w:rPr>
        <w:t xml:space="preserve">Структура администрации состоит из 6 единиц, из них 2 должности – должности муниципальной службы, 1 единица – техработник, 3 должности – должности не отнесенные к должностям муниципальной службы. </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ab/>
        <w:t xml:space="preserve">В 2023 году на органы местного самоуправления израсходовано 17,5 % средств местного бюджета. За 2023 год органами местного самоуправления принято 135нормативно-правовых акта, затрагивающих важные аспекты деятельности администрации сельского поселения. </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sz w:val="28"/>
          <w:szCs w:val="28"/>
        </w:rPr>
        <w:t>В целях открытости деятельности органов местного самоуправления  действует официальный сайт, где размещается информация о деятельности администрации, Совета народных депутатов, ТОСов, нормативно-правовые акты, программы развития поселения, информация о работе с обращениями граждан.</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sz w:val="28"/>
          <w:szCs w:val="28"/>
        </w:rPr>
        <w:t>Администрация сельского поселения придает огромную роль развитию инициатив жителей сел. В современном мире, где постоянно бушуют опасные социальные штормы и бури, как никогда ранее нужна консолидация общества на местах, трезвый и объективный взгляд на положение дел, взвешенные и продуманные действия населения и власти. Союз реальных дел с предложениями и поддержкой жителей – такой пример показывают в своей работе общественные организации. Инициативы с мест всегда будут находить всестороннюю поддержку со стороны администрации поселения. Администрация сельского поселения надеется на вашу всестороннюю поддержку в решении местных вопросов.</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lastRenderedPageBreak/>
        <w:tab/>
        <w:t>В прошлом году ТОС «Поповка» стал одним из победителей в конкурсе проектов по линии АНО «Образ будущего». На средства, поступившие из областного бюджета и средства выделенные из местного бюджета в населенном пункте установили указатели с названиями улиц села.</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sz w:val="28"/>
          <w:szCs w:val="28"/>
        </w:rPr>
        <w:t>Вопросы коммунального хозяйства занимают важное место в деятельности администрации сельского поселения. В населенных пунктах установлено белее 80 контейнеров для сбора ТКО, приступили к возведению контейнерных площадок.</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sz w:val="28"/>
          <w:szCs w:val="28"/>
        </w:rPr>
        <w:t>В целях поддержания в нормальном состоянии системы водоснабжения в с. Народное, Липяги, Поповка из местного бюджета в 2023 году было выделено1256,2 тыс. рублей. Общая протяженность водопроводных сетей составляет, 27,5 км, из них в с. Народное 9,5 км, в с. Липяги 13 км, в с. Поповка 5 км. В октябре 2023 г. водопроводы в с. Народное и в с. Липяги переданы в собственность Терновского сельского поселения. Это сделано в целях оперативного решения вопросов по содержанию системы водоснабжения.</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sz w:val="28"/>
          <w:szCs w:val="28"/>
        </w:rPr>
        <w:t>Социальная сфера сельского поселения представлена 2 школами, амбулаторией, детским садом, 2 ФАПами, библиотекой, Домом культуры. В ДК  действует 23 кружковых объединения, в которых занимается 327 жителей. Штатная структура ДК  состоит из 6 специалистов. В клубе созданы и поддерживаются на должном уровне условия необходимые для работы персонала и пребывания посетителей.</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sz w:val="28"/>
          <w:szCs w:val="28"/>
        </w:rPr>
        <w:t xml:space="preserve">В 2023 году на территории сельского поселения действовали: спортивно-досуговая площадка, два стадиона, тренажерный зал, многофункциональная спортивная площадка, 3 спортивные площадки, одна тренажерно-спортивная площадка. Данная инфраструктура способствует развитию массовых видов спорта, формированию здорового образа жизни, развитию системы физкультурно-оздоровительных услуг удовлетворяет потребности населения в занятиях спортом. Возрастает доля граждан, которые уделяют большое внимание вопросам физкультуры и спорта. Формируется устойчивое сознание у населения и, в особенности у молодежи, значимости и роли спорта в сохранении здоровья. </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sz w:val="28"/>
          <w:szCs w:val="28"/>
        </w:rPr>
        <w:t>Вс. Народное возводится красивое здание детского сада на 70 мест, которое смогут посещать дети  и из соседних сел.</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ab/>
        <w:t xml:space="preserve">На территории сельского поселения расположены: амбулатория, 2 ФАПа. Областным и районным руководством проводилась работа по созданию оптимальных условия для деятельности персонала, повышения уровня комфортности для посетителей. </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sz w:val="28"/>
          <w:szCs w:val="28"/>
        </w:rPr>
        <w:t xml:space="preserve">В 2023 году на содержание ДПК из местного бюджета было выделено 796,7 тыс. рублей. Основная масса средств использована для формирования фонда оплаты труда, приобретения ГСМ, обмундирования, ремонта 2-х автомобилей. В целях предотвращения распространения ландшафтных пожаров проводилась опашка всех населенных пунктов. Для проведения </w:t>
      </w:r>
      <w:r w:rsidRPr="00CD45D0">
        <w:rPr>
          <w:rFonts w:ascii="Times New Roman" w:hAnsi="Times New Roman" w:cs="Times New Roman"/>
          <w:sz w:val="28"/>
          <w:szCs w:val="28"/>
        </w:rPr>
        <w:lastRenderedPageBreak/>
        <w:t>мероприятий по предупреждению и ликвидации аварийных ситуаций созданы и  поддерживаются в постоянной готовности и применению необходимые силы и средства, а также проводятся мероприятия, которые гарантируют постоянную готовность сил и средств к локализации и ликвидации опасных ситуации. В  целях обеспечения согласованности сил и средств по цели, месту, времени, более качественного и быстрого проведения мероприятий, а также для наращивания усилий при ликвидации чрезвычайной ситуации организуется взаимодействие с привлеченными силами, пожарными службами из разных сел, газо, электро, медико – службами. ДПК выезжает на пожары не только в села Народненского поселения, но и в соседние села. Штат ДПК состоит из 5 работников. Работники ДПК совместно с сотрудниками администрации сельского поселения проводили профилактическую и разъяснительную работу среди населения.</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sz w:val="28"/>
          <w:szCs w:val="28"/>
        </w:rPr>
        <w:t>Всем приятно жить и трудиться в благоустроенном населенном пункте. Развиваем кластер по благоустройству общественных пространств, реализации инфраструктурных проектов. В этом направлении в прошлом году проведена большая работа. Изменяются в положительную сторону условия для отдыха, спорта, меняется архитектурный вид сел. В 2023 году отремонтированы дороги в с. Народное по ул. Мира протяженностью  0,818  м, по ул. Набережная протяженностью 0,454м, по ул. 2-я Ленинская, протяженностью 0,784 м., в с. Липяги по ул. Советская протяженностью 0,518 м. Большой комплекс работ выполнен по озеленению территории парка Победы, администрации сельского поселения, Дома культуры. Завершили работу по благоустройству территории у местной администрации.</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sz w:val="28"/>
          <w:szCs w:val="28"/>
        </w:rPr>
        <w:t xml:space="preserve">На балансе администрации имеется много построенных за последние годы объектов, которые мы должны содержать в исправном состоянии и которые требуют выделения немалых финансовых затрат. И эти затраты с каждым годом будут только возрастать. </w:t>
      </w:r>
    </w:p>
    <w:p w:rsidR="00CD45D0" w:rsidRPr="00CD45D0" w:rsidRDefault="00CD45D0" w:rsidP="00CD45D0">
      <w:pPr>
        <w:spacing w:after="0" w:line="240" w:lineRule="auto"/>
        <w:ind w:firstLine="708"/>
        <w:jc w:val="both"/>
        <w:rPr>
          <w:rFonts w:ascii="Times New Roman" w:hAnsi="Times New Roman" w:cs="Times New Roman"/>
          <w:sz w:val="28"/>
          <w:szCs w:val="28"/>
          <w:highlight w:val="yellow"/>
        </w:rPr>
      </w:pPr>
      <w:r w:rsidRPr="00CD45D0">
        <w:rPr>
          <w:rFonts w:ascii="Times New Roman" w:hAnsi="Times New Roman" w:cs="Times New Roman"/>
          <w:sz w:val="28"/>
          <w:szCs w:val="28"/>
        </w:rPr>
        <w:tab/>
        <w:t>Вызывает тревогу поведение отдельных граждан не желающих соблюдать общепринятые правила по содержанию своих придомовых территорий. От мелких поступков каждого может зависеть общий большой итог. Каждый на практике должен стать экологом. Отношение к санитарному состоянию своего села, своей улицы, своего дома – это вопрос нашего будущего. Если каждый из нас в отдельности будет исполнять самые простые правила в поддержании порядка, тогда наградой  для всех нас станет красота, уют, комфортность на улицах, в населенном пункте. Взаимодействие, желание решать местные проблемы – это короткая и прямая дорога к успеху.</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sz w:val="28"/>
          <w:szCs w:val="28"/>
        </w:rPr>
        <w:t>Местный бюджет на 2024 год планируется в сумме 12292800  рублей и будет формироваться следующим образом:</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налог на доходы физических лиц – 516000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налог на имущество физических лиц – 156000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земельный налог – 2751000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lastRenderedPageBreak/>
        <w:t>- государственная пошлина – 6500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доходы от арендной платы за земельные участки – 4154600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доходы от сдачи в аренду имущества – 8000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доходы, поступающие в порядке возмещения расходов понесенных в связи с эксплуатацией имущества сельских поселений – 220000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прочие неналоговые доходы – 6000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остаток средств – 2489233,36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дотация на выравнивание бюджетной обеспеченности – 506000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дотация на выравнивание бюджетной обеспеченности из бюджета муниципального района – 1486000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на содержание ВУС – 136000 рублей;</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  иные межбюджетные трансферты – 2346700 рублей.</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sz w:val="28"/>
          <w:szCs w:val="28"/>
        </w:rPr>
        <w:t>В 2024 году планируется большой объем работ, цель которых удовлетворить потребности населения, востребованность и актуальность услуг жителями.</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b/>
          <w:sz w:val="28"/>
          <w:szCs w:val="28"/>
        </w:rPr>
        <w:t>В области благоустройства</w:t>
      </w:r>
      <w:r w:rsidRPr="00CD45D0">
        <w:rPr>
          <w:rFonts w:ascii="Times New Roman" w:hAnsi="Times New Roman" w:cs="Times New Roman"/>
          <w:sz w:val="28"/>
          <w:szCs w:val="28"/>
        </w:rPr>
        <w:t xml:space="preserve"> необходимо поддержание в нормальном состоянии уже построенных объектов, замена устаревшего и вышедшего из эксплуатации  оборудования, благоустройство кладбищ в с. Липяги и  в д. Коршуновка. Планируется снос ветхих и аварийных бесхозных зданий, ликвидация несанкционированных свалок, провести большой объем работ по озеленению, планируются работы по декоративному освещению территории и общественных пространств;</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b/>
          <w:sz w:val="28"/>
          <w:szCs w:val="28"/>
        </w:rPr>
        <w:t>В области ЖКХ:</w:t>
      </w:r>
      <w:r w:rsidRPr="00CD45D0">
        <w:rPr>
          <w:rFonts w:ascii="Times New Roman" w:hAnsi="Times New Roman" w:cs="Times New Roman"/>
          <w:sz w:val="28"/>
          <w:szCs w:val="28"/>
        </w:rPr>
        <w:t xml:space="preserve"> строительство контейнерных площадок</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b/>
          <w:sz w:val="28"/>
          <w:szCs w:val="28"/>
        </w:rPr>
        <w:t>В дорожной деятельности</w:t>
      </w:r>
      <w:r w:rsidRPr="00CD45D0">
        <w:rPr>
          <w:rFonts w:ascii="Times New Roman" w:hAnsi="Times New Roman" w:cs="Times New Roman"/>
          <w:sz w:val="28"/>
          <w:szCs w:val="28"/>
        </w:rPr>
        <w:t>: ремонт местных дорог: по ул. Пушкинская и Пролетарская  в с. Народное, ул. Мичуринская и ул. К.Маркса в с. Липяги.</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b/>
          <w:sz w:val="28"/>
          <w:szCs w:val="28"/>
        </w:rPr>
        <w:t>По линии ТОС</w:t>
      </w:r>
      <w:r w:rsidRPr="00CD45D0">
        <w:rPr>
          <w:rFonts w:ascii="Times New Roman" w:hAnsi="Times New Roman" w:cs="Times New Roman"/>
          <w:sz w:val="28"/>
          <w:szCs w:val="28"/>
        </w:rPr>
        <w:t xml:space="preserve"> планируется реализовать два проекта – благоустройство входной группы кладбища в с. Липяги, установка двух современных автопавильонов и указателей с названиями улиц в с. Народное.</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b/>
          <w:sz w:val="28"/>
          <w:szCs w:val="28"/>
        </w:rPr>
        <w:t>В области культуры</w:t>
      </w:r>
      <w:r w:rsidRPr="00CD45D0">
        <w:rPr>
          <w:rFonts w:ascii="Times New Roman" w:hAnsi="Times New Roman" w:cs="Times New Roman"/>
          <w:sz w:val="28"/>
          <w:szCs w:val="28"/>
        </w:rPr>
        <w:t>: полнее удовлетворять культурные запросы разных возрастных групп населения.</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b/>
          <w:sz w:val="28"/>
          <w:szCs w:val="28"/>
        </w:rPr>
        <w:t>В области физической культуры и спорта</w:t>
      </w:r>
      <w:r w:rsidRPr="00CD45D0">
        <w:rPr>
          <w:rFonts w:ascii="Times New Roman" w:hAnsi="Times New Roman" w:cs="Times New Roman"/>
          <w:sz w:val="28"/>
          <w:szCs w:val="28"/>
        </w:rPr>
        <w:t>: развитие массовых и доступных видов спорта, формирование здорового образа жизни, завершение проектных и изыскательских работ по объекту «Лыжероллерная трасса».</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b/>
          <w:sz w:val="28"/>
          <w:szCs w:val="28"/>
        </w:rPr>
        <w:t>По линии органов местного самоуправления</w:t>
      </w:r>
      <w:r w:rsidRPr="00CD45D0">
        <w:rPr>
          <w:rFonts w:ascii="Times New Roman" w:hAnsi="Times New Roman" w:cs="Times New Roman"/>
          <w:sz w:val="28"/>
          <w:szCs w:val="28"/>
        </w:rPr>
        <w:t>: тесное взаимодействие с общественными организациями, предпринимательским корпусом, бизнесом, расширение налогооблагаемой базы местного бюджета, подготовка и принятие правовых нормативных актов направленных на развитие сельского поселения.</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ab/>
        <w:t xml:space="preserve">В этом году администрация сельского поселения попытается сделать первые робкие и мелкие шаги по развитию туризма на народненской земле, реализовав раздел проекта по созданию арт-объекта «Следы Волконских на Воронежской земле». Проект предполагается реализовать в трех районах: Борисоглебском, Грибановском и Терновском, соединив эти три локации в </w:t>
      </w:r>
      <w:r w:rsidRPr="00CD45D0">
        <w:rPr>
          <w:rFonts w:ascii="Times New Roman" w:hAnsi="Times New Roman" w:cs="Times New Roman"/>
          <w:sz w:val="28"/>
          <w:szCs w:val="28"/>
        </w:rPr>
        <w:lastRenderedPageBreak/>
        <w:t>единое целое. В современном обществе сегодня достаточно остро стоит проблема духовно-нравственного воспитания подрастающего поколения и об этом теперь говорит не только Церковь, но и государство, причем на всех его уровнях. Указ Президента Российской Федерации от 09.11.2022 №809 «Об утверждении Основ государственной политики по сохранению и укреплению традиционных российских духовно-нравственных ценностей» содержит следующее определение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Согласно документу, традиционные ценности «укрепляют гражданское единство и находят свое уникальное, самобытное проявление в духовном, историческом и культурном развитии многонационального народа России». К традиционным ценностям отнесены «жизнь, достоинство, права и свободы человека, патриотизм, гражданственность, служение Отечеству,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Актуальность проекта обусловлена важностью воспитания патриотизма  и национального самосознания русского народа, позволит создать в районах интересные для посещения туристов маста, усилить интерес населения к своей истории, сохранить историко-культурно наследие России.</w:t>
      </w:r>
    </w:p>
    <w:p w:rsidR="00CD45D0" w:rsidRPr="00CD45D0" w:rsidRDefault="00CD45D0" w:rsidP="00CD45D0">
      <w:pPr>
        <w:tabs>
          <w:tab w:val="left" w:pos="1336"/>
        </w:tabs>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sz w:val="28"/>
          <w:szCs w:val="28"/>
        </w:rPr>
        <w:t>Выступая 22 декабря 2023 г. на пресс-конференции Губернатор области А.В. Гусев отметил: «Мы не только сохранили устойчивость, но и продолжаем развиваться. Это видно и по объектам, которые появляются в социальной сфере, и по состоянию экономики. В этом году во всех отраслях мы имеем рост и в промышленности, и в сельском хозяйстве, и в строительстве. Наша задача – продолжить последовательное развитие региона!» . Объединив усилия мы успешно можем преодолеть все преграды.</w:t>
      </w:r>
    </w:p>
    <w:p w:rsidR="00CD45D0" w:rsidRPr="00CD45D0" w:rsidRDefault="00CD45D0" w:rsidP="00CD45D0">
      <w:pPr>
        <w:spacing w:after="0" w:line="240" w:lineRule="auto"/>
        <w:ind w:firstLine="708"/>
        <w:jc w:val="both"/>
        <w:rPr>
          <w:rFonts w:ascii="Times New Roman" w:hAnsi="Times New Roman" w:cs="Times New Roman"/>
          <w:sz w:val="28"/>
          <w:szCs w:val="28"/>
        </w:rPr>
      </w:pPr>
      <w:r w:rsidRPr="00CD45D0">
        <w:rPr>
          <w:rFonts w:ascii="Times New Roman" w:hAnsi="Times New Roman" w:cs="Times New Roman"/>
          <w:sz w:val="28"/>
          <w:szCs w:val="28"/>
        </w:rPr>
        <w:tab/>
        <w:t>Каждый на своем месте должен внести посильную лепту в развитие родного края. Не отступая, не сгибаясь вместе будем двигаться только вперед. Принять решения и претворить их в жизнь, справиться с проблемами, которые перед нами стоят, способны только мы сами, но только вместе. Масштабы и темпы нашего продвижения вперед с каждым годом должны только возрастать. По другому быть не должно.</w:t>
      </w:r>
    </w:p>
    <w:p w:rsidR="00CD45D0" w:rsidRPr="00CD45D0" w:rsidRDefault="00CD45D0" w:rsidP="00CD45D0">
      <w:pPr>
        <w:spacing w:after="0" w:line="240" w:lineRule="auto"/>
        <w:jc w:val="both"/>
        <w:rPr>
          <w:rFonts w:ascii="Times New Roman" w:hAnsi="Times New Roman" w:cs="Times New Roman"/>
          <w:sz w:val="28"/>
          <w:szCs w:val="28"/>
        </w:rPr>
      </w:pPr>
      <w:r w:rsidRPr="00CD45D0">
        <w:rPr>
          <w:rFonts w:ascii="Times New Roman" w:hAnsi="Times New Roman" w:cs="Times New Roman"/>
          <w:sz w:val="28"/>
          <w:szCs w:val="28"/>
        </w:rPr>
        <w:t>Спасибо за внимание!</w:t>
      </w: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CD45D0" w:rsidRPr="00CD45D0" w:rsidRDefault="00CD45D0" w:rsidP="00CD45D0">
      <w:pPr>
        <w:spacing w:after="0" w:line="240" w:lineRule="auto"/>
        <w:jc w:val="both"/>
        <w:rPr>
          <w:rFonts w:ascii="Times New Roman" w:hAnsi="Times New Roman" w:cs="Times New Roman"/>
          <w:sz w:val="28"/>
          <w:szCs w:val="28"/>
        </w:rPr>
      </w:pPr>
    </w:p>
    <w:p w:rsidR="00A51C43" w:rsidRDefault="00A51C43">
      <w:bookmarkStart w:id="0" w:name="_GoBack"/>
      <w:bookmarkEnd w:id="0"/>
    </w:p>
    <w:sectPr w:rsidR="00A51C43" w:rsidSect="00850E03">
      <w:footerReference w:type="default" r:id="rId5"/>
      <w:pgSz w:w="11906" w:h="16838"/>
      <w:pgMar w:top="1134" w:right="567" w:bottom="1701" w:left="1985"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6093571"/>
      <w:docPartObj>
        <w:docPartGallery w:val="Page Numbers (Bottom of Page)"/>
        <w:docPartUnique/>
      </w:docPartObj>
    </w:sdtPr>
    <w:sdtEndPr/>
    <w:sdtContent>
      <w:p w:rsidR="00C74AFA" w:rsidRDefault="00CD45D0">
        <w:pPr>
          <w:pStyle w:val="a3"/>
          <w:jc w:val="right"/>
        </w:pPr>
        <w:r>
          <w:fldChar w:fldCharType="begin"/>
        </w:r>
        <w:r>
          <w:instrText>PAGE   \* MERGEFORMAT</w:instrText>
        </w:r>
        <w:r>
          <w:fldChar w:fldCharType="separate"/>
        </w:r>
        <w:r>
          <w:rPr>
            <w:noProof/>
          </w:rPr>
          <w:t>9</w:t>
        </w:r>
        <w:r>
          <w:fldChar w:fldCharType="end"/>
        </w:r>
      </w:p>
    </w:sdtContent>
  </w:sdt>
  <w:p w:rsidR="00C74AFA" w:rsidRDefault="00CD45D0">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E5"/>
    <w:rsid w:val="00520BE5"/>
    <w:rsid w:val="00A51C43"/>
    <w:rsid w:val="00CD45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D45D0"/>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CD45D0"/>
    <w:rPr>
      <w:rFonts w:ascii="Calibri" w:eastAsia="Calibri" w:hAnsi="Calibri" w:cs="Times New Roman"/>
    </w:rPr>
  </w:style>
  <w:style w:type="table" w:styleId="a5">
    <w:name w:val="Table Grid"/>
    <w:basedOn w:val="a1"/>
    <w:uiPriority w:val="59"/>
    <w:rsid w:val="00CD45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D45D0"/>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CD45D0"/>
    <w:rPr>
      <w:rFonts w:ascii="Calibri" w:eastAsia="Calibri" w:hAnsi="Calibri" w:cs="Times New Roman"/>
    </w:rPr>
  </w:style>
  <w:style w:type="table" w:styleId="a5">
    <w:name w:val="Table Grid"/>
    <w:basedOn w:val="a1"/>
    <w:uiPriority w:val="59"/>
    <w:rsid w:val="00CD45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2877</Words>
  <Characters>16405</Characters>
  <Application>Microsoft Office Word</Application>
  <DocSecurity>0</DocSecurity>
  <Lines>136</Lines>
  <Paragraphs>38</Paragraphs>
  <ScaleCrop>false</ScaleCrop>
  <Company>SPecialiST RePack</Company>
  <LinksUpToDate>false</LinksUpToDate>
  <CharactersWithSpaces>19244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2025-01-15T11:04:00Z</dcterms:created>
  <dcterms:modified xsi:type="dcterms:W3CDTF">2025-01-15T11:05:00Z</dcterms:modified>
</cp:coreProperties>
</file>